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39" w:rsidRDefault="00B76539">
      <w:r>
        <w:rPr>
          <w:noProof/>
          <w:lang w:eastAsia="ru-RU"/>
        </w:rPr>
        <w:drawing>
          <wp:inline distT="0" distB="0" distL="0" distR="0">
            <wp:extent cx="3505200" cy="1228725"/>
            <wp:effectExtent l="0" t="0" r="0" b="9525"/>
            <wp:docPr id="1" name="Рисунок 1" descr="C:\Users\admin\Desktop\ppmi_kaluzhskoy_oblast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pmi_kaluzhskoy_oblasti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39" w:rsidRDefault="00B76539"/>
    <w:p w:rsidR="00B76539" w:rsidRPr="00B76539" w:rsidRDefault="00B76539" w:rsidP="00E62FE9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A1A1A"/>
          <w:kern w:val="36"/>
          <w:sz w:val="72"/>
          <w:szCs w:val="72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kern w:val="36"/>
          <w:sz w:val="72"/>
          <w:szCs w:val="72"/>
          <w:lang w:eastAsia="ru-RU"/>
        </w:rPr>
        <w:t>“Программа поддержки местных инициатив Калужской области”</w:t>
      </w:r>
    </w:p>
    <w:p w:rsidR="00B76539" w:rsidRPr="00B76539" w:rsidRDefault="00B76539" w:rsidP="00E62FE9">
      <w:pPr>
        <w:spacing w:before="345" w:after="0" w:line="240" w:lineRule="auto"/>
        <w:jc w:val="center"/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  <w:t>Конкурс организован министерством финансов Калужской области с 2017 года</w:t>
      </w:r>
    </w:p>
    <w:p w:rsidR="00B76539" w:rsidRDefault="00B76539" w:rsidP="00E62FE9">
      <w:pPr>
        <w:spacing w:before="330"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Конкурс проводится 1 раз в год на территории Калужской области</w:t>
      </w:r>
    </w:p>
    <w:p w:rsidR="00E62FE9" w:rsidRPr="00B76539" w:rsidRDefault="00E62FE9" w:rsidP="00E62FE9">
      <w:pPr>
        <w:spacing w:before="330"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</w:p>
    <w:p w:rsidR="00B76539" w:rsidRPr="00B76539" w:rsidRDefault="00B76539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  <w:t>Цели и задачи</w:t>
      </w:r>
      <w:r w:rsidRPr="00B76539"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  <w:br/>
        <w:t>конкурса</w:t>
      </w:r>
    </w:p>
    <w:p w:rsidR="00D26DE0" w:rsidRDefault="00B76539" w:rsidP="00A020BD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 xml:space="preserve">Под инициативным проектом понимается, проект развития общественной инфраструктуры муниципальных образований, основанный на местных инициативах, реализующийся участниками проекта, которыми могут выступать юридические </w:t>
      </w:r>
      <w:bookmarkStart w:id="0" w:name="_GoBack"/>
      <w:bookmarkEnd w:id="0"/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лица (включая органы местного самоуправления) и граждане.</w:t>
      </w:r>
    </w:p>
    <w:p w:rsidR="00B76539" w:rsidRPr="00B76539" w:rsidRDefault="00B76539" w:rsidP="00A020BD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 xml:space="preserve">Цель предоставления субсидий - </w:t>
      </w:r>
      <w:proofErr w:type="spellStart"/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софинансирование</w:t>
      </w:r>
      <w:proofErr w:type="spellEnd"/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самоуправления, реализующих инициативные проекты.</w:t>
      </w: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br/>
      </w: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br/>
      </w:r>
      <w:r w:rsidRPr="00B76539">
        <w:rPr>
          <w:rFonts w:ascii="Century Gothic" w:eastAsia="Times New Roman" w:hAnsi="Century Gothic" w:cs="Times New Roman"/>
          <w:b/>
          <w:bCs/>
          <w:color w:val="1A1A1A"/>
          <w:sz w:val="24"/>
          <w:szCs w:val="24"/>
          <w:lang w:eastAsia="ru-RU"/>
        </w:rPr>
        <w:t>Задачи программы:</w:t>
      </w: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br/>
      </w:r>
    </w:p>
    <w:p w:rsidR="00B76539" w:rsidRPr="00B76539" w:rsidRDefault="00B76539" w:rsidP="00E6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Развитие общественной инфраструктуры муниципальных образований Калужской области.</w:t>
      </w:r>
    </w:p>
    <w:p w:rsidR="00B76539" w:rsidRPr="00B76539" w:rsidRDefault="00B76539" w:rsidP="00E6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Активизация населения в решении вопросов местного значения.</w:t>
      </w:r>
    </w:p>
    <w:p w:rsidR="00B76539" w:rsidRPr="00B76539" w:rsidRDefault="00B76539" w:rsidP="00E6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Повышение доверия населения к власти всех уровней за счет организации совместной работы.</w:t>
      </w:r>
    </w:p>
    <w:p w:rsidR="00B76539" w:rsidRPr="00B76539" w:rsidRDefault="00B76539" w:rsidP="00E6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Повышение эффективности использования бюджетных ресурсов.</w:t>
      </w:r>
    </w:p>
    <w:p w:rsidR="00B76539" w:rsidRPr="00B76539" w:rsidRDefault="00B76539" w:rsidP="003D5422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lastRenderedPageBreak/>
        <w:t>Особенность программы является то, что отбор и реализация проектов в поселениях осуществляется при активном участии населения. Программа предусматривает выделение на конкурсной основе субсидий из областного бюджета на реализацию наиболее важных для поселений проектов.</w:t>
      </w:r>
    </w:p>
    <w:p w:rsidR="00E62FE9" w:rsidRDefault="00E62FE9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</w:p>
    <w:p w:rsidR="00B76539" w:rsidRPr="00B76539" w:rsidRDefault="00B76539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  <w:t>Номинации</w:t>
      </w:r>
      <w:r w:rsidRPr="00B76539"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  <w:br/>
        <w:t>конкурса</w:t>
      </w:r>
    </w:p>
    <w:p w:rsidR="00B76539" w:rsidRPr="00B76539" w:rsidRDefault="00B76539" w:rsidP="00742C19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  <w:t>Количество проектов, планируемых к реализации и представленных на конкурсный отбор, от одного муниципального образования не ограничивается. Направление проектов должны содержать мероприятия по развитию объектов общественной инфраструктуры: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 культуры;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 физической культуры и массового спорта;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объекты, используемые для проведения общественных и культурно-массовых мероприятий;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объекты, используемые для массового отдыха населения;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игровые площадки;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 благоустройства и озеленения населенных пунктов;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 водоснабжения и водоотведения;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учреждения библиотечного обслуживания населения;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объекты, необходимые для обеспечения пожарной безопасности;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 бытового обслуживания населения;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объекты газо- и теплоснабжения;</w:t>
      </w:r>
    </w:p>
    <w:p w:rsidR="00B76539" w:rsidRPr="00B76539" w:rsidRDefault="00B76539" w:rsidP="00E62F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места захоронения;</w:t>
      </w:r>
    </w:p>
    <w:p w:rsidR="00B76539" w:rsidRPr="00B76539" w:rsidRDefault="00B76539" w:rsidP="003D5422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  <w:t>автомобильные дороги общего пользования местного значения в границах городского (сельского) поселения и сооружения на них.</w:t>
      </w:r>
    </w:p>
    <w:p w:rsidR="003D5422" w:rsidRDefault="003D5422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</w:p>
    <w:p w:rsidR="00B76539" w:rsidRPr="00B76539" w:rsidRDefault="00B76539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  <w:t>Этапы конкурса</w:t>
      </w:r>
    </w:p>
    <w:p w:rsidR="00B76539" w:rsidRPr="00B76539" w:rsidRDefault="00B76539" w:rsidP="003D5422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  <w:t xml:space="preserve">При отборе заявок оценивается вклад местных жителей (денежный и </w:t>
      </w:r>
      <w:proofErr w:type="spellStart"/>
      <w:r w:rsidRPr="00B76539"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  <w:t>неденежный</w:t>
      </w:r>
      <w:proofErr w:type="spellEnd"/>
      <w:r w:rsidRPr="00B76539"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  <w:t>), привлечение спонсоров, активность участия местных жителей в собрании, социальная эффективность проекта и т.д.</w:t>
      </w:r>
    </w:p>
    <w:p w:rsidR="00B76539" w:rsidRPr="00B76539" w:rsidRDefault="00B76539" w:rsidP="00E62FE9">
      <w:pPr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  <w:t>Собрание жителей</w:t>
      </w:r>
    </w:p>
    <w:p w:rsidR="00B76539" w:rsidRPr="00B76539" w:rsidRDefault="00B76539" w:rsidP="003D5422">
      <w:pPr>
        <w:spacing w:after="0" w:line="240" w:lineRule="auto"/>
        <w:ind w:left="720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 xml:space="preserve">Проведение собрания жителей, на котором определяются приоритетные мероприятия по развитию общественной </w:t>
      </w: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lastRenderedPageBreak/>
        <w:t>инфраструктуры и обязательный вклад населения в реализацию проекта</w:t>
      </w:r>
    </w:p>
    <w:p w:rsidR="00B76539" w:rsidRPr="00B76539" w:rsidRDefault="00B76539" w:rsidP="00E62FE9">
      <w:pPr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  <w:t>Подготовка заявки</w:t>
      </w:r>
    </w:p>
    <w:p w:rsidR="00B76539" w:rsidRPr="00B76539" w:rsidRDefault="00B76539" w:rsidP="003D5422">
      <w:pPr>
        <w:spacing w:after="0" w:line="240" w:lineRule="auto"/>
        <w:ind w:left="720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Местная администрация совместно с инициативной группой жителей готовят заявку</w:t>
      </w:r>
      <w:proofErr w:type="gramStart"/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 xml:space="preserve"> в состав которой входит проектно-сметная документация по проекту</w:t>
      </w:r>
    </w:p>
    <w:p w:rsidR="00B76539" w:rsidRPr="00B76539" w:rsidRDefault="00B76539" w:rsidP="00E62FE9">
      <w:pPr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  <w:t>Подача заявки</w:t>
      </w:r>
    </w:p>
    <w:p w:rsidR="00B76539" w:rsidRPr="00B76539" w:rsidRDefault="00B76539" w:rsidP="003D5422">
      <w:pPr>
        <w:spacing w:after="0" w:line="240" w:lineRule="auto"/>
        <w:ind w:left="720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Муниципальное образование предоставляет организатору - Министерству финансов Калужской области конкурсную документацию в срок </w:t>
      </w:r>
      <w:r w:rsidRPr="00B76539">
        <w:rPr>
          <w:rFonts w:ascii="Century Gothic" w:eastAsia="Times New Roman" w:hAnsi="Century Gothic" w:cs="Times New Roman"/>
          <w:b/>
          <w:bCs/>
          <w:color w:val="1A1A1A"/>
          <w:sz w:val="24"/>
          <w:szCs w:val="24"/>
          <w:lang w:eastAsia="ru-RU"/>
        </w:rPr>
        <w:t>не позднее 1 марта</w:t>
      </w: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 текущего финансового года</w:t>
      </w:r>
    </w:p>
    <w:p w:rsidR="00B76539" w:rsidRPr="00B76539" w:rsidRDefault="00B76539" w:rsidP="00E62FE9">
      <w:pPr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  <w:t>Конкурсный отбор</w:t>
      </w:r>
    </w:p>
    <w:p w:rsidR="00B76539" w:rsidRPr="00B76539" w:rsidRDefault="00B76539" w:rsidP="003D5422">
      <w:pPr>
        <w:spacing w:after="0" w:line="240" w:lineRule="auto"/>
        <w:ind w:left="720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Конкурсный отбор проводится конкурсной комиссией ежегодно в срок </w:t>
      </w:r>
      <w:r w:rsidRPr="00B76539">
        <w:rPr>
          <w:rFonts w:ascii="Century Gothic" w:eastAsia="Times New Roman" w:hAnsi="Century Gothic" w:cs="Times New Roman"/>
          <w:b/>
          <w:bCs/>
          <w:color w:val="1A1A1A"/>
          <w:sz w:val="24"/>
          <w:szCs w:val="24"/>
          <w:lang w:eastAsia="ru-RU"/>
        </w:rPr>
        <w:t>до 1 апреля</w:t>
      </w: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  по заранее установленным критериям. Заявки, набравшие наибольшее число баллов становятся победителями конкурсного отбора и получают право на выделение субсидии из областного бюджета</w:t>
      </w:r>
    </w:p>
    <w:p w:rsidR="00B76539" w:rsidRPr="00B76539" w:rsidRDefault="00B76539" w:rsidP="00E62FE9">
      <w:pPr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  <w:t>Реализация</w:t>
      </w:r>
    </w:p>
    <w:p w:rsidR="00B76539" w:rsidRPr="00B76539" w:rsidRDefault="00B76539" w:rsidP="003D5422">
      <w:pPr>
        <w:spacing w:after="0" w:line="240" w:lineRule="auto"/>
        <w:ind w:left="720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После подведения итогов конкурсного отбора местные администрации проводят конкурентные процедуры по определению подрядных организаций, инициативная группа начинает сбор средств жителей и перечисляет на счет поселения, приступают к реализации проекта</w:t>
      </w:r>
    </w:p>
    <w:p w:rsidR="00B76539" w:rsidRPr="00B76539" w:rsidRDefault="00B76539" w:rsidP="00E62FE9">
      <w:pPr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1A1A1A"/>
          <w:sz w:val="39"/>
          <w:szCs w:val="39"/>
          <w:lang w:eastAsia="ru-RU"/>
        </w:rPr>
        <w:t>Финансирование</w:t>
      </w:r>
    </w:p>
    <w:p w:rsidR="00B76539" w:rsidRPr="00B76539" w:rsidRDefault="00B76539" w:rsidP="003D5422">
      <w:pPr>
        <w:spacing w:after="0" w:line="240" w:lineRule="auto"/>
        <w:ind w:left="720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По итогам завершения работ производится их финансирование за счет всех заявленных в конкурсной документации источников (население и спонсоры, местный бюджет, областной бюджет).</w:t>
      </w:r>
    </w:p>
    <w:p w:rsidR="00B76539" w:rsidRDefault="00B76539" w:rsidP="00E62FE9">
      <w:pPr>
        <w:spacing w:line="240" w:lineRule="auto"/>
      </w:pPr>
    </w:p>
    <w:p w:rsidR="00B76539" w:rsidRPr="00B76539" w:rsidRDefault="00B76539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  <w:t>Документы конкурса</w:t>
      </w:r>
    </w:p>
    <w:p w:rsidR="00B76539" w:rsidRPr="00B76539" w:rsidRDefault="00B76539" w:rsidP="0056589E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  <w:t>Об организации и проведении конкурса, включая методику оценки и форму конкурсных заявок:</w:t>
      </w:r>
    </w:p>
    <w:p w:rsidR="00B76539" w:rsidRPr="00B76539" w:rsidRDefault="00A020BD" w:rsidP="00E62FE9">
      <w:pPr>
        <w:numPr>
          <w:ilvl w:val="0"/>
          <w:numId w:val="4"/>
        </w:numPr>
        <w:pBdr>
          <w:top w:val="single" w:sz="6" w:space="14" w:color="F59B00"/>
        </w:pBdr>
        <w:shd w:val="clear" w:color="auto" w:fill="F8F8F8"/>
        <w:spacing w:before="100" w:beforeAutospacing="1" w:after="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hyperlink r:id="rId7" w:history="1">
        <w:proofErr w:type="spellStart"/>
        <w:r w:rsidR="00B76539" w:rsidRPr="00B76539">
          <w:rPr>
            <w:rFonts w:ascii="Century Gothic" w:eastAsia="Times New Roman" w:hAnsi="Century Gothic" w:cs="Times New Roman"/>
            <w:color w:val="282828"/>
            <w:sz w:val="24"/>
            <w:szCs w:val="24"/>
            <w:u w:val="single"/>
            <w:lang w:eastAsia="ru-RU"/>
          </w:rPr>
          <w:t>Приказ_по_конкурсу</w:t>
        </w:r>
        <w:proofErr w:type="spellEnd"/>
        <w:r w:rsidR="00B76539" w:rsidRPr="00B76539">
          <w:rPr>
            <w:rFonts w:ascii="Century Gothic" w:eastAsia="Times New Roman" w:hAnsi="Century Gothic" w:cs="Times New Roman"/>
            <w:color w:val="282828"/>
            <w:sz w:val="24"/>
            <w:szCs w:val="24"/>
            <w:u w:val="single"/>
            <w:lang w:eastAsia="ru-RU"/>
          </w:rPr>
          <w:t xml:space="preserve"> _2021.doc</w:t>
        </w:r>
      </w:hyperlink>
    </w:p>
    <w:p w:rsidR="00B76539" w:rsidRPr="00B76539" w:rsidRDefault="00A020BD" w:rsidP="00E62FE9">
      <w:pPr>
        <w:numPr>
          <w:ilvl w:val="0"/>
          <w:numId w:val="4"/>
        </w:numPr>
        <w:spacing w:before="100" w:beforeAutospacing="1" w:after="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hyperlink r:id="rId8" w:history="1">
        <w:r w:rsidR="00B76539" w:rsidRPr="00B76539">
          <w:rPr>
            <w:rFonts w:ascii="Century Gothic" w:eastAsia="Times New Roman" w:hAnsi="Century Gothic" w:cs="Times New Roman"/>
            <w:color w:val="282828"/>
            <w:sz w:val="24"/>
            <w:szCs w:val="24"/>
            <w:u w:val="single"/>
            <w:lang w:eastAsia="ru-RU"/>
          </w:rPr>
          <w:t>Перечень документов, необходимый для получения субсидии на реализацию проектов развития общественной инфраструктуры муниципальных образований.docx</w:t>
        </w:r>
      </w:hyperlink>
    </w:p>
    <w:p w:rsidR="00B76539" w:rsidRPr="00B76539" w:rsidRDefault="00A020BD" w:rsidP="00E62FE9">
      <w:pPr>
        <w:numPr>
          <w:ilvl w:val="0"/>
          <w:numId w:val="4"/>
        </w:numPr>
        <w:shd w:val="clear" w:color="auto" w:fill="F8F8F8"/>
        <w:spacing w:before="100" w:beforeAutospacing="1" w:after="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hyperlink r:id="rId9" w:history="1">
        <w:r w:rsidR="00B76539" w:rsidRPr="00B76539">
          <w:rPr>
            <w:rFonts w:ascii="Century Gothic" w:eastAsia="Times New Roman" w:hAnsi="Century Gothic" w:cs="Times New Roman"/>
            <w:color w:val="282828"/>
            <w:sz w:val="24"/>
            <w:szCs w:val="24"/>
            <w:u w:val="single"/>
            <w:lang w:eastAsia="ru-RU"/>
          </w:rPr>
          <w:t>Форма заявки на получение субсидии.docx</w:t>
        </w:r>
      </w:hyperlink>
    </w:p>
    <w:p w:rsidR="00B76539" w:rsidRPr="00B76539" w:rsidRDefault="00A020BD" w:rsidP="00E62FE9">
      <w:pPr>
        <w:numPr>
          <w:ilvl w:val="0"/>
          <w:numId w:val="4"/>
        </w:numPr>
        <w:spacing w:before="100" w:beforeAutospacing="1" w:after="0" w:afterAutospacing="1" w:line="240" w:lineRule="auto"/>
        <w:ind w:left="0"/>
        <w:rPr>
          <w:rFonts w:ascii="Century Gothic" w:eastAsia="Times New Roman" w:hAnsi="Century Gothic" w:cs="Times New Roman"/>
          <w:b/>
          <w:bCs/>
          <w:color w:val="1A1A1A"/>
          <w:sz w:val="27"/>
          <w:szCs w:val="27"/>
          <w:lang w:eastAsia="ru-RU"/>
        </w:rPr>
      </w:pPr>
      <w:hyperlink r:id="rId10" w:history="1">
        <w:r w:rsidR="00B76539" w:rsidRPr="00B76539">
          <w:rPr>
            <w:rFonts w:ascii="Century Gothic" w:eastAsia="Times New Roman" w:hAnsi="Century Gothic" w:cs="Times New Roman"/>
            <w:color w:val="282828"/>
            <w:sz w:val="24"/>
            <w:szCs w:val="24"/>
            <w:u w:val="single"/>
            <w:lang w:eastAsia="ru-RU"/>
          </w:rPr>
          <w:t>Форма проекта развития общественной инфраструктуры муниципального образования, основанного на местных инициативах.xlsx</w:t>
        </w:r>
      </w:hyperlink>
    </w:p>
    <w:p w:rsidR="0056589E" w:rsidRDefault="0056589E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</w:p>
    <w:p w:rsidR="0056589E" w:rsidRDefault="0056589E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</w:p>
    <w:p w:rsidR="00B76539" w:rsidRPr="00B76539" w:rsidRDefault="00B76539" w:rsidP="00E62FE9">
      <w:pPr>
        <w:spacing w:after="0" w:line="240" w:lineRule="auto"/>
        <w:outlineLvl w:val="4"/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</w:pPr>
      <w:r w:rsidRPr="00B76539">
        <w:rPr>
          <w:rFonts w:ascii="Century Gothic" w:eastAsia="Times New Roman" w:hAnsi="Century Gothic" w:cs="Times New Roman"/>
          <w:b/>
          <w:bCs/>
          <w:color w:val="282828"/>
          <w:sz w:val="39"/>
          <w:szCs w:val="39"/>
          <w:lang w:eastAsia="ru-RU"/>
        </w:rPr>
        <w:lastRenderedPageBreak/>
        <w:t>Гранты конкурса</w:t>
      </w:r>
    </w:p>
    <w:p w:rsidR="00B76539" w:rsidRPr="00B76539" w:rsidRDefault="00B76539" w:rsidP="0056589E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33"/>
          <w:szCs w:val="33"/>
          <w:lang w:eastAsia="ru-RU"/>
        </w:rPr>
        <w:t>Источниками финансирования мероприятий проекта могут быть средства муниципальных районов, юридических лиц, ИП. Размер субсидий муниципальному образованию на цель не должен превышать:</w:t>
      </w:r>
    </w:p>
    <w:p w:rsidR="00B76539" w:rsidRPr="00B76539" w:rsidRDefault="00B76539" w:rsidP="00E62FE9">
      <w:pPr>
        <w:numPr>
          <w:ilvl w:val="0"/>
          <w:numId w:val="5"/>
        </w:numPr>
        <w:spacing w:after="180" w:line="240" w:lineRule="auto"/>
        <w:ind w:left="0"/>
        <w:outlineLvl w:val="2"/>
        <w:rPr>
          <w:rFonts w:ascii="Century Gothic" w:eastAsia="Times New Roman" w:hAnsi="Century Gothic" w:cs="Times New Roman"/>
          <w:b/>
          <w:bCs/>
          <w:color w:val="F59B00"/>
          <w:sz w:val="54"/>
          <w:szCs w:val="54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F59B00"/>
          <w:sz w:val="54"/>
          <w:szCs w:val="54"/>
          <w:lang w:eastAsia="ru-RU"/>
        </w:rPr>
        <w:t>до 10</w:t>
      </w:r>
      <w:r w:rsidRPr="00B76539">
        <w:rPr>
          <w:rFonts w:ascii="Century Gothic" w:eastAsia="Times New Roman" w:hAnsi="Century Gothic" w:cs="Times New Roman"/>
          <w:b/>
          <w:bCs/>
          <w:color w:val="F59B00"/>
          <w:sz w:val="54"/>
          <w:szCs w:val="54"/>
          <w:lang w:eastAsia="ru-RU"/>
        </w:rPr>
        <w:t xml:space="preserve">00 000 </w:t>
      </w:r>
      <w:proofErr w:type="spellStart"/>
      <w:r w:rsidRPr="00B76539">
        <w:rPr>
          <w:rFonts w:ascii="Century Gothic" w:eastAsia="Times New Roman" w:hAnsi="Century Gothic" w:cs="Times New Roman"/>
          <w:b/>
          <w:bCs/>
          <w:color w:val="F59B00"/>
          <w:sz w:val="54"/>
          <w:szCs w:val="54"/>
          <w:lang w:eastAsia="ru-RU"/>
        </w:rPr>
        <w:t>руб</w:t>
      </w:r>
      <w:proofErr w:type="spellEnd"/>
    </w:p>
    <w:p w:rsidR="00B76539" w:rsidRPr="00B76539" w:rsidRDefault="00B76539" w:rsidP="00E62FE9">
      <w:pPr>
        <w:spacing w:after="0" w:line="240" w:lineRule="auto"/>
        <w:rPr>
          <w:rFonts w:ascii="Century Gothic" w:eastAsia="Times New Roman" w:hAnsi="Century Gothic" w:cs="Times New Roman"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7"/>
          <w:szCs w:val="27"/>
          <w:lang w:eastAsia="ru-RU"/>
        </w:rPr>
        <w:t>Для муниципального образования численностью населения не более 1000 человек</w:t>
      </w:r>
    </w:p>
    <w:p w:rsidR="00B76539" w:rsidRPr="00B76539" w:rsidRDefault="00B76539" w:rsidP="00E62FE9">
      <w:pPr>
        <w:numPr>
          <w:ilvl w:val="0"/>
          <w:numId w:val="5"/>
        </w:numPr>
        <w:spacing w:after="180" w:line="240" w:lineRule="auto"/>
        <w:ind w:left="0"/>
        <w:outlineLvl w:val="2"/>
        <w:rPr>
          <w:rFonts w:ascii="Century Gothic" w:eastAsia="Times New Roman" w:hAnsi="Century Gothic" w:cs="Times New Roman"/>
          <w:b/>
          <w:bCs/>
          <w:color w:val="F59B00"/>
          <w:sz w:val="54"/>
          <w:szCs w:val="54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F59B00"/>
          <w:sz w:val="54"/>
          <w:szCs w:val="54"/>
          <w:lang w:eastAsia="ru-RU"/>
        </w:rPr>
        <w:t>до 1 3</w:t>
      </w:r>
      <w:r w:rsidRPr="00B76539">
        <w:rPr>
          <w:rFonts w:ascii="Century Gothic" w:eastAsia="Times New Roman" w:hAnsi="Century Gothic" w:cs="Times New Roman"/>
          <w:b/>
          <w:bCs/>
          <w:color w:val="F59B00"/>
          <w:sz w:val="54"/>
          <w:szCs w:val="54"/>
          <w:lang w:eastAsia="ru-RU"/>
        </w:rPr>
        <w:t xml:space="preserve">00 000 </w:t>
      </w:r>
      <w:proofErr w:type="spellStart"/>
      <w:r w:rsidRPr="00B76539">
        <w:rPr>
          <w:rFonts w:ascii="Century Gothic" w:eastAsia="Times New Roman" w:hAnsi="Century Gothic" w:cs="Times New Roman"/>
          <w:b/>
          <w:bCs/>
          <w:color w:val="F59B00"/>
          <w:sz w:val="54"/>
          <w:szCs w:val="54"/>
          <w:lang w:eastAsia="ru-RU"/>
        </w:rPr>
        <w:t>руб</w:t>
      </w:r>
      <w:proofErr w:type="spellEnd"/>
    </w:p>
    <w:p w:rsidR="00B76539" w:rsidRPr="00B76539" w:rsidRDefault="00B76539" w:rsidP="00A020BD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1A1A1A"/>
          <w:sz w:val="27"/>
          <w:szCs w:val="27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7"/>
          <w:szCs w:val="27"/>
          <w:lang w:eastAsia="ru-RU"/>
        </w:rPr>
        <w:t>Для муниципального образования численностью населения свыше 1000 человек</w:t>
      </w:r>
    </w:p>
    <w:p w:rsidR="00A020BD" w:rsidRDefault="00B76539" w:rsidP="00A020BD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Финансовое обеспечение проекта за счет средств муниципального образования - </w:t>
      </w:r>
      <w:r w:rsidRPr="00B76539">
        <w:rPr>
          <w:rFonts w:ascii="Century Gothic" w:eastAsia="Times New Roman" w:hAnsi="Century Gothic" w:cs="Times New Roman"/>
          <w:b/>
          <w:bCs/>
          <w:color w:val="F7941D"/>
          <w:sz w:val="24"/>
          <w:szCs w:val="24"/>
          <w:lang w:eastAsia="ru-RU"/>
        </w:rPr>
        <w:t>не менее 5%</w:t>
      </w:r>
      <w:r w:rsidRPr="00B76539">
        <w:rPr>
          <w:rFonts w:ascii="Century Gothic" w:eastAsia="Times New Roman" w:hAnsi="Century Gothic" w:cs="Times New Roman"/>
          <w:b/>
          <w:bCs/>
          <w:color w:val="1A1A1A"/>
          <w:sz w:val="24"/>
          <w:szCs w:val="24"/>
          <w:lang w:eastAsia="ru-RU"/>
        </w:rPr>
        <w:t> </w:t>
      </w:r>
      <w:r w:rsidR="00A020BD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от стоимости проекта.</w:t>
      </w:r>
    </w:p>
    <w:p w:rsidR="00B76539" w:rsidRPr="00B76539" w:rsidRDefault="00B76539" w:rsidP="00A020BD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</w:pPr>
      <w:proofErr w:type="spellStart"/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Софинансирование</w:t>
      </w:r>
      <w:proofErr w:type="spellEnd"/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 xml:space="preserve"> проекта за счет безвозмездных поступлений от физических лиц - </w:t>
      </w:r>
      <w:r>
        <w:rPr>
          <w:rFonts w:ascii="Century Gothic" w:eastAsia="Times New Roman" w:hAnsi="Century Gothic" w:cs="Times New Roman"/>
          <w:b/>
          <w:bCs/>
          <w:color w:val="F7941D"/>
          <w:sz w:val="24"/>
          <w:szCs w:val="24"/>
          <w:lang w:eastAsia="ru-RU"/>
        </w:rPr>
        <w:t>не менее 4</w:t>
      </w:r>
      <w:r w:rsidRPr="00B76539">
        <w:rPr>
          <w:rFonts w:ascii="Century Gothic" w:eastAsia="Times New Roman" w:hAnsi="Century Gothic" w:cs="Times New Roman"/>
          <w:b/>
          <w:bCs/>
          <w:color w:val="F7941D"/>
          <w:sz w:val="24"/>
          <w:szCs w:val="24"/>
          <w:lang w:eastAsia="ru-RU"/>
        </w:rPr>
        <w:t>%</w:t>
      </w:r>
      <w:r w:rsidRPr="00B76539">
        <w:rPr>
          <w:rFonts w:ascii="Century Gothic" w:eastAsia="Times New Roman" w:hAnsi="Century Gothic" w:cs="Times New Roman"/>
          <w:color w:val="1A1A1A"/>
          <w:sz w:val="24"/>
          <w:szCs w:val="24"/>
          <w:lang w:eastAsia="ru-RU"/>
        </w:rPr>
        <w:t> от стоимости проекта.</w:t>
      </w:r>
    </w:p>
    <w:p w:rsidR="00B76539" w:rsidRDefault="00B76539" w:rsidP="00E62FE9">
      <w:pPr>
        <w:spacing w:line="240" w:lineRule="auto"/>
      </w:pPr>
    </w:p>
    <w:sectPr w:rsidR="00B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8A4"/>
    <w:multiLevelType w:val="multilevel"/>
    <w:tmpl w:val="EAF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2695"/>
    <w:multiLevelType w:val="multilevel"/>
    <w:tmpl w:val="D92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12DF5"/>
    <w:multiLevelType w:val="multilevel"/>
    <w:tmpl w:val="8112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90996"/>
    <w:multiLevelType w:val="multilevel"/>
    <w:tmpl w:val="C758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0FAC"/>
    <w:multiLevelType w:val="multilevel"/>
    <w:tmpl w:val="BE6C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C4B28"/>
    <w:multiLevelType w:val="multilevel"/>
    <w:tmpl w:val="EB6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80"/>
    <w:rsid w:val="003D5422"/>
    <w:rsid w:val="0056589E"/>
    <w:rsid w:val="00642F33"/>
    <w:rsid w:val="00742C19"/>
    <w:rsid w:val="00A020BD"/>
    <w:rsid w:val="00A22D80"/>
    <w:rsid w:val="00B76539"/>
    <w:rsid w:val="00C9337D"/>
    <w:rsid w:val="00D26DE0"/>
    <w:rsid w:val="00DF41E7"/>
    <w:rsid w:val="00E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765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D8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76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6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7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with-headertext">
    <w:name w:val="list-with-header__text"/>
    <w:basedOn w:val="a"/>
    <w:rsid w:val="00B7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765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D8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76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6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7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with-headertext">
    <w:name w:val="list-with-header__text"/>
    <w:basedOn w:val="a"/>
    <w:rsid w:val="00B7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-golos.ru/upload/iblock/558/558b497e1d5046cca9a62344e33b5def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luga-golos.ru/upload/iblock/dd0/dd04bb55bdb5d6574d61a87868ee01e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luga-golos.ru/upload/iblock/93c/93c8b9bc4e69c63ccb6f7bf88194adea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uga-golos.ru/upload/iblock/3c7/3c791cdf255ab2cb1977f169527ec8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dcterms:created xsi:type="dcterms:W3CDTF">2022-02-07T08:09:00Z</dcterms:created>
  <dcterms:modified xsi:type="dcterms:W3CDTF">2022-02-09T05:09:00Z</dcterms:modified>
</cp:coreProperties>
</file>